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46F7" w14:textId="5816E485" w:rsidR="00FD5351" w:rsidRPr="008657B0" w:rsidRDefault="000E3589" w:rsidP="008657B0">
      <w:pPr>
        <w:pStyle w:val="Title"/>
        <w:rPr>
          <w:lang w:val="cy-GB"/>
        </w:rPr>
      </w:pPr>
      <w:r w:rsidRPr="008657B0">
        <w:rPr>
          <w:lang w:val="cy-GB"/>
        </w:rPr>
        <w:t>Adroddiad Blynyddol ar Uniondeb Ymchwil</w:t>
      </w:r>
      <w:r w:rsidR="007F5D9A" w:rsidRPr="008657B0">
        <w:rPr>
          <w:lang w:val="cy-GB"/>
        </w:rPr>
        <w:t xml:space="preserve"> 2017/18</w:t>
      </w:r>
    </w:p>
    <w:p w14:paraId="2FC446F9" w14:textId="2CE27F83" w:rsidR="00FD5351" w:rsidRPr="008657B0" w:rsidRDefault="000E3589" w:rsidP="008657B0">
      <w:pPr>
        <w:pStyle w:val="Heading1"/>
        <w:rPr>
          <w:lang w:val="cy-GB"/>
        </w:rPr>
      </w:pPr>
      <w:r w:rsidRPr="008657B0">
        <w:rPr>
          <w:lang w:val="cy-GB"/>
        </w:rPr>
        <w:t xml:space="preserve">Cyflwyniad </w:t>
      </w:r>
    </w:p>
    <w:p w14:paraId="2FC446FB" w14:textId="5156B405" w:rsidR="00003434" w:rsidRPr="008657B0" w:rsidRDefault="000E3589" w:rsidP="008657B0">
      <w:pPr>
        <w:spacing w:before="360" w:after="360"/>
        <w:rPr>
          <w:highlight w:val="yellow"/>
          <w:lang w:val="cy-GB"/>
        </w:rPr>
      </w:pPr>
      <w:r w:rsidRPr="008657B0">
        <w:rPr>
          <w:lang w:val="cy-GB"/>
        </w:rPr>
        <w:t>Cyhoeddwyd y Con</w:t>
      </w:r>
      <w:r w:rsidR="00003434" w:rsidRPr="008657B0">
        <w:rPr>
          <w:lang w:val="cy-GB"/>
        </w:rPr>
        <w:t xml:space="preserve">cordat </w:t>
      </w:r>
      <w:r w:rsidRPr="008657B0">
        <w:rPr>
          <w:lang w:val="cy-GB"/>
        </w:rPr>
        <w:t>i Gefnogi Uniondeb Ymchwil yn 2012 gan Brifysgolion y Deyrnas Unedig i ddarparu fframwaith cynhwysfawr ar gyfer ymddygiad ymchwil da a’i lywodraethu. Bwriad y Concordat yw cynorthwyo i sicrhau bod ymchwil a wneir gan neu mewn partneriaeth gyda chymuned ymchwil y Deyrnas Unedig wedi’i gefnogi gan safonau uchel uniondeb a chywirdeb. Mae’r Concordat yn cydnabod gwahanol gyfrifoldebau ymchwilwyr, cyflogwyr ymchwilwyr a chyllidwyr ymchwil, yn ogystal â rôl hanfodol sefydliadau sy’n cefnogi ymchwil ac ymchwilwyr wrth atgyfnerthu uniondeb ymchwil. Mae’r Concordat yn berthnasol i bob maes ymchwil, yn pwysleisio cyfrifoldebau ac atebolrwydd, yn cyd-fynd â fframweithiau sy’n bodoli eisoes ac yn adnabod annibyniaeth cyflogwyr.</w:t>
      </w:r>
      <w:r w:rsidR="008657B0" w:rsidRPr="008657B0">
        <w:rPr>
          <w:highlight w:val="yellow"/>
          <w:lang w:val="cy-GB"/>
        </w:rPr>
        <w:t xml:space="preserve"> </w:t>
      </w:r>
    </w:p>
    <w:p w14:paraId="1645BB6A" w14:textId="77777777" w:rsidR="008657B0" w:rsidRDefault="000E3589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 xml:space="preserve">Mae Prifysgol </w:t>
      </w:r>
      <w:r w:rsidR="00003434" w:rsidRPr="008657B0">
        <w:rPr>
          <w:lang w:val="cy-GB"/>
        </w:rPr>
        <w:t>Glyndŵr</w:t>
      </w:r>
      <w:r w:rsidRPr="008657B0">
        <w:rPr>
          <w:lang w:val="cy-GB"/>
        </w:rPr>
        <w:t xml:space="preserve"> wedi ymrwymo i gynnal egwyddorion y </w:t>
      </w:r>
      <w:r w:rsidR="00AE3F15" w:rsidRPr="008657B0">
        <w:rPr>
          <w:lang w:val="cy-GB"/>
        </w:rPr>
        <w:t>Concordat</w:t>
      </w:r>
      <w:r w:rsidR="00003434" w:rsidRPr="008657B0">
        <w:rPr>
          <w:lang w:val="cy-GB"/>
        </w:rPr>
        <w:t>:</w:t>
      </w:r>
      <w:r w:rsidR="008657B0" w:rsidRPr="008657B0">
        <w:rPr>
          <w:lang w:val="cy-GB"/>
        </w:rPr>
        <w:t xml:space="preserve"> </w:t>
      </w:r>
    </w:p>
    <w:p w14:paraId="2FC446FE" w14:textId="1134163C" w:rsidR="00003434" w:rsidRPr="008657B0" w:rsidRDefault="000E3589" w:rsidP="008657B0">
      <w:pPr>
        <w:pStyle w:val="ListParagraph"/>
        <w:numPr>
          <w:ilvl w:val="0"/>
          <w:numId w:val="19"/>
        </w:numPr>
        <w:spacing w:before="360" w:after="360"/>
        <w:rPr>
          <w:lang w:val="cy-GB"/>
        </w:rPr>
      </w:pPr>
      <w:r w:rsidRPr="008657B0">
        <w:rPr>
          <w:lang w:val="cy-GB"/>
        </w:rPr>
        <w:t xml:space="preserve">cynnal y safonau uchaf o ran uniondeb a chywirdeb ym mhob agwedd o waith ymchwil </w:t>
      </w:r>
    </w:p>
    <w:p w14:paraId="2FC446FF" w14:textId="77777777" w:rsidR="00003434" w:rsidRPr="008657B0" w:rsidRDefault="000E3589" w:rsidP="008657B0">
      <w:pPr>
        <w:numPr>
          <w:ilvl w:val="0"/>
          <w:numId w:val="19"/>
        </w:numPr>
        <w:spacing w:before="360" w:after="360"/>
        <w:rPr>
          <w:lang w:val="cy-GB"/>
        </w:rPr>
      </w:pPr>
      <w:r w:rsidRPr="008657B0">
        <w:rPr>
          <w:lang w:val="cy-GB"/>
        </w:rPr>
        <w:t xml:space="preserve">sicrhau bod ymchwil yn cael ei gynnal yn unol â’r fframweithiau, ymrwymiadau a safonau moesegol, cyfreithiol a phroffesiynol priodol  </w:t>
      </w:r>
    </w:p>
    <w:p w14:paraId="2FC44700" w14:textId="77777777" w:rsidR="00003434" w:rsidRPr="008657B0" w:rsidRDefault="000E3589" w:rsidP="008657B0">
      <w:pPr>
        <w:numPr>
          <w:ilvl w:val="0"/>
          <w:numId w:val="19"/>
        </w:numPr>
        <w:spacing w:before="360" w:after="360"/>
        <w:rPr>
          <w:lang w:val="cy-GB"/>
        </w:rPr>
      </w:pPr>
      <w:r w:rsidRPr="008657B0">
        <w:rPr>
          <w:lang w:val="cy-GB"/>
        </w:rPr>
        <w:t xml:space="preserve">cefnogi amgylchedd ymchwil wedi’i sylfaenu ar ddiwylliant o uniondeb ar sail llywodraethu da, arferion gorau a chefnogi datblygiad ymchwilwyr  </w:t>
      </w:r>
    </w:p>
    <w:p w14:paraId="2FC44701" w14:textId="77777777" w:rsidR="00003434" w:rsidRPr="008657B0" w:rsidRDefault="000E3589" w:rsidP="008657B0">
      <w:pPr>
        <w:numPr>
          <w:ilvl w:val="0"/>
          <w:numId w:val="19"/>
        </w:numPr>
        <w:spacing w:before="360" w:after="360"/>
        <w:rPr>
          <w:lang w:val="cy-GB"/>
        </w:rPr>
      </w:pPr>
      <w:r w:rsidRPr="008657B0">
        <w:rPr>
          <w:lang w:val="cy-GB"/>
        </w:rPr>
        <w:t xml:space="preserve">defnyddio prosesau tryloyw, cadarn a theg i ymdrin â honiadau o gamymddygiad ymchwil, pe cyfyd hynny </w:t>
      </w:r>
    </w:p>
    <w:p w14:paraId="4B302BA9" w14:textId="77777777" w:rsidR="008657B0" w:rsidRDefault="000E3589" w:rsidP="008657B0">
      <w:pPr>
        <w:numPr>
          <w:ilvl w:val="0"/>
          <w:numId w:val="19"/>
        </w:numPr>
        <w:spacing w:before="360" w:after="360"/>
        <w:rPr>
          <w:lang w:val="cy-GB"/>
        </w:rPr>
      </w:pPr>
      <w:r w:rsidRPr="008657B0">
        <w:rPr>
          <w:lang w:val="cy-GB"/>
        </w:rPr>
        <w:t>gweithio gyda’n gilydd i gryfhau uniondeb ymchwil ac adolygu’r cynnydd yn rheolaidd ac yn agored</w:t>
      </w:r>
    </w:p>
    <w:p w14:paraId="2FC44705" w14:textId="098C95A8" w:rsidR="00AE3F15" w:rsidRPr="008657B0" w:rsidRDefault="000E3589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 xml:space="preserve">Mae Bwrdd Llywodraethwyr y Brifysgol yn cyhoeddi adroddiad blynyddol ar uniondeb ymchwil, yn unol â disgwyliadau’r </w:t>
      </w:r>
      <w:r w:rsidR="00003434" w:rsidRPr="008657B0">
        <w:rPr>
          <w:lang w:val="cy-GB"/>
        </w:rPr>
        <w:t xml:space="preserve">Concordat.  </w:t>
      </w:r>
      <w:r w:rsidR="00C7121A" w:rsidRPr="008657B0">
        <w:rPr>
          <w:lang w:val="cy-GB"/>
        </w:rPr>
        <w:t xml:space="preserve">Cafodd yr adroddiad hwn ei ystyried a’i gytuno gan Bwyllgor Ymchwil y Brifysgol a’r Bwrdd Academaidd cyn ei gyhoeddi gan y Bwrdd Llywodraethwyr.  </w:t>
      </w:r>
    </w:p>
    <w:p w14:paraId="2FC44707" w14:textId="7709C971" w:rsidR="00003434" w:rsidRPr="008657B0" w:rsidRDefault="000E3589" w:rsidP="008657B0">
      <w:pPr>
        <w:pStyle w:val="Heading1"/>
        <w:rPr>
          <w:lang w:val="cy-GB"/>
        </w:rPr>
      </w:pPr>
      <w:r w:rsidRPr="008657B0">
        <w:rPr>
          <w:lang w:val="cy-GB"/>
        </w:rPr>
        <w:t xml:space="preserve">Gweithredu’r </w:t>
      </w:r>
      <w:r w:rsidR="00AE3F15" w:rsidRPr="008657B0">
        <w:rPr>
          <w:lang w:val="cy-GB"/>
        </w:rPr>
        <w:t>Concordat</w:t>
      </w:r>
    </w:p>
    <w:p w14:paraId="2FC44709" w14:textId="66933FB3" w:rsidR="00003434" w:rsidRPr="008657B0" w:rsidRDefault="00C7121A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>Y Dirprwy Is-ganghellor Ymchwil sy’n gyfrifol am gadw golwg ar uniondeb ymchwil; dylid cyfeirio ymholiadau ynghylch uniondeb ymchwil at y Dirprwy Is-ganghellor Ymchwil.</w:t>
      </w:r>
      <w:r w:rsidR="008657B0" w:rsidRPr="008657B0">
        <w:rPr>
          <w:lang w:val="cy-GB"/>
        </w:rPr>
        <w:t xml:space="preserve"> </w:t>
      </w:r>
    </w:p>
    <w:p w14:paraId="2FC4470B" w14:textId="47BECC36" w:rsidR="00FD5351" w:rsidRPr="008657B0" w:rsidRDefault="00C7121A" w:rsidP="008657B0">
      <w:pPr>
        <w:spacing w:before="360" w:after="360"/>
        <w:rPr>
          <w:highlight w:val="yellow"/>
          <w:lang w:val="cy-GB"/>
        </w:rPr>
      </w:pPr>
      <w:r w:rsidRPr="008657B0">
        <w:rPr>
          <w:lang w:val="cy-GB"/>
        </w:rPr>
        <w:t>Mae uniondeb ymchwil a Rheoliadau’r Brifysgol a</w:t>
      </w:r>
      <w:bookmarkStart w:id="0" w:name="_GoBack"/>
      <w:bookmarkEnd w:id="0"/>
      <w:r w:rsidRPr="008657B0">
        <w:rPr>
          <w:lang w:val="cy-GB"/>
        </w:rPr>
        <w:t xml:space="preserve">r Arferion Ymchwil yn cael eu goruchwylio gan Bwyllgor Ymchwil y Brifysgol ar ran y Bwrdd Academaidd; eitem sefydlog ar ei agenda yw “Adolygu’r Polisi ac Achosion Camymddygiad Ymchwil.” Ymdrinnir â honiadau o gamymddygiad ymchwil yn cynnwys staff neu fyfyrwyr y Brifysgol yn unol â darpariaethau Gweithdrefn Ddisgyblu’r Brifysgol ar gyfer Staff a/neu Weithdrefn Ddisgyblu’r Brifysgol ar gyfer Myfyrwyr, y Weithdrefn Camymddygiad Academaidd neu’r Weithdrefn Addasrwydd i fod yn Ymarferydd, fel bo’n briodol. Bydd honiadau o gamymddygiad ymchwil gan ymchwilwyr sy’n cynnal gwaith ymchwil dan nawdd y Brifysgol, ond nad ydynt yn staff nac yn </w:t>
      </w:r>
      <w:r w:rsidRPr="008657B0">
        <w:rPr>
          <w:lang w:val="cy-GB"/>
        </w:rPr>
        <w:lastRenderedPageBreak/>
        <w:t>fyfyrwyr, yn cael ei hysbysu wrth y Dirprwy Is-ganghellor Ymchwil yn gyntaf, ac yna eu cyfeirio at Bennaeth Adran Academaidd i ymchwilio i’r honiadau.</w:t>
      </w:r>
      <w:r w:rsidR="008657B0" w:rsidRPr="008657B0">
        <w:rPr>
          <w:highlight w:val="yellow"/>
          <w:lang w:val="cy-GB"/>
        </w:rPr>
        <w:t xml:space="preserve"> </w:t>
      </w:r>
    </w:p>
    <w:p w14:paraId="2FC4470D" w14:textId="5072A09B" w:rsidR="00FD5351" w:rsidRPr="008657B0" w:rsidRDefault="00C7121A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 xml:space="preserve">Hysbyswyd am un achos o gamymddygiad ymchwil yn </w:t>
      </w:r>
      <w:r w:rsidR="00003434" w:rsidRPr="008657B0">
        <w:rPr>
          <w:lang w:val="cy-GB"/>
        </w:rPr>
        <w:t xml:space="preserve">2017/18. </w:t>
      </w:r>
      <w:r w:rsidRPr="008657B0">
        <w:rPr>
          <w:lang w:val="cy-GB"/>
        </w:rPr>
        <w:t xml:space="preserve">Roedd hyn yn ymwneud â dechrau casglu data </w:t>
      </w:r>
      <w:r w:rsidR="001B72EE" w:rsidRPr="008657B0">
        <w:rPr>
          <w:lang w:val="cy-GB"/>
        </w:rPr>
        <w:t xml:space="preserve">cynradd cyn cadarnhau cymeradwyo’r ymchwil, ac ymdriniwyd â hyn yn unol â’r Weithdrefn Mân Gamymddygiad yn y Weithdrefn Camymddygiad Academaidd ar gyfer myfyrwyr. </w:t>
      </w:r>
    </w:p>
    <w:p w14:paraId="2FC4470F" w14:textId="5B766557" w:rsidR="00FD5351" w:rsidRPr="008657B0" w:rsidRDefault="001B72EE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>Yn unol â’r Concordat, mae’r Brifysgol yn gwneud darpariaeth i unrhyw unigolyn fynegi pryderon am uniondeb ymchwil sy’n cael ei gynnal dan nawdd y Brifysgol. Nodir y trefniadau yn y Weithdrefn Cwynion Trydydd Partïon a’r Polisi Datgelu eu Budd y Cyhoedd (Chwythu’r Chwiban).</w:t>
      </w:r>
      <w:r w:rsidR="008657B0" w:rsidRPr="008657B0">
        <w:rPr>
          <w:lang w:val="cy-GB"/>
        </w:rPr>
        <w:t xml:space="preserve"> </w:t>
      </w:r>
    </w:p>
    <w:p w14:paraId="2FC44711" w14:textId="21DEEE1C" w:rsidR="00FD5351" w:rsidRPr="008657B0" w:rsidRDefault="001B72EE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>Mae’r Is-bwyllgor Moeseg Ymchwil yn adolygu ac yn datblygu prosesau i sicrhau adolygu effeithiol ac awdurdodi ceisiadau am gymeradwyaeth moesegol prosiectau ymchwil ar bob lefel, ac yn ystyried achosion unigol sy’n bodloni’r meini prawf perthnasol.</w:t>
      </w:r>
      <w:r w:rsidR="008657B0" w:rsidRPr="008657B0">
        <w:rPr>
          <w:lang w:val="cy-GB"/>
        </w:rPr>
        <w:t xml:space="preserve"> </w:t>
      </w:r>
    </w:p>
    <w:p w14:paraId="2FC44713" w14:textId="640631E9" w:rsidR="00FD5351" w:rsidRPr="008657B0" w:rsidRDefault="001B72EE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>Mae’r llawlyfrau Myfyriwr Ymchwil Ôl-raddedig a Goruchwylir Myfyriwr Ymchwil Ôl-raddedig yn cynnwys cyfeirio at gyfrifoldebau’r ymchw</w:t>
      </w:r>
      <w:r w:rsidR="00D14330" w:rsidRPr="008657B0">
        <w:rPr>
          <w:lang w:val="cy-GB"/>
        </w:rPr>
        <w:t>ilwyr yng nghyswllt y Concordat</w:t>
      </w:r>
      <w:r w:rsidRPr="008657B0">
        <w:rPr>
          <w:lang w:val="cy-GB"/>
        </w:rPr>
        <w:t>.</w:t>
      </w:r>
      <w:r w:rsidR="008657B0" w:rsidRPr="008657B0">
        <w:rPr>
          <w:lang w:val="cy-GB"/>
        </w:rPr>
        <w:t xml:space="preserve"> </w:t>
      </w:r>
    </w:p>
    <w:p w14:paraId="2FC44715" w14:textId="5655B3A2" w:rsidR="00610FC8" w:rsidRPr="008657B0" w:rsidRDefault="001B72EE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>Cydlynir cefnogaeth y Brifysgol i ddatblygiad ymchwilwyr gan y Tiwtor Datblygiad Ymchwilwyr. Mae uniondeb ymchwil ei hun yn ffurfio elfen bwysig o ddatblygiad ymchwilydd ac mae’n cael ei gynnwys yn yr hyfforddiant cychwynnol i oruchwylwyr ymchwil. Darperir sesiynau ymwybyddiaeth a hyfforddiant cyffredinol a phenodol i bynciau ynghylch moeseg ymchwil trwy gydol y flwyddyn academaidd.</w:t>
      </w:r>
      <w:r w:rsidR="008657B0" w:rsidRPr="008657B0">
        <w:rPr>
          <w:lang w:val="cy-GB"/>
        </w:rPr>
        <w:t xml:space="preserve"> </w:t>
      </w:r>
    </w:p>
    <w:p w14:paraId="2FC44716" w14:textId="77777777" w:rsidR="00D14330" w:rsidRPr="008657B0" w:rsidRDefault="001B72EE" w:rsidP="008657B0">
      <w:pPr>
        <w:spacing w:before="360" w:after="360"/>
        <w:rPr>
          <w:lang w:val="cy-GB"/>
        </w:rPr>
      </w:pPr>
      <w:r w:rsidRPr="008657B0">
        <w:rPr>
          <w:lang w:val="cy-GB"/>
        </w:rPr>
        <w:t xml:space="preserve">Gall ymchwil ddigwydd ar bob lefel astudiaeth a datblygiad gyrfa, ac mae cymorth a chyngor ar gael i holl aelodau cymuned Prifysgol Glyndŵr Wrecsam. Mae myfyrwyr ymchwil </w:t>
      </w:r>
    </w:p>
    <w:p w14:paraId="2FC44718" w14:textId="337711DF" w:rsidR="00FD5351" w:rsidRPr="008657B0" w:rsidRDefault="001B72EE" w:rsidP="008657B0">
      <w:pPr>
        <w:spacing w:before="360" w:after="360"/>
        <w:rPr>
          <w:bCs/>
          <w:lang w:val="cy-GB"/>
        </w:rPr>
      </w:pPr>
      <w:r w:rsidRPr="008657B0">
        <w:rPr>
          <w:lang w:val="cy-GB"/>
        </w:rPr>
        <w:t xml:space="preserve">ôl-raddedig yn cael cefnogaeth barhaus gan aelodau eu tîm goruchwylio yn ogystal â chyfarfodydd goruchwylio ffurfiol yn rheolaidd. Mae myfyrwyr sy’n dilyn rhaglenni a addysgir yn cael cefnogaeth eu tiwtor personol, a’u goruchwyliwr traethawd hir a/neu arweinyddion modiwl. Sefydlwyd rhaglen mentora ymchwilwyr ar gyfer staff, ac mae’r Tiwtor Datblygiad Ymchwilwyr </w:t>
      </w:r>
      <w:r w:rsidR="00D14330" w:rsidRPr="008657B0">
        <w:rPr>
          <w:lang w:val="cy-GB"/>
        </w:rPr>
        <w:t>a’</w:t>
      </w:r>
      <w:r w:rsidRPr="008657B0">
        <w:rPr>
          <w:lang w:val="cy-GB"/>
        </w:rPr>
        <w:t>r Pennaeth Gwasanaethau Ymchwil yn darparu gwybodaeth a chyngor i staff ar gais i’r perwyl hynny.</w:t>
      </w:r>
      <w:r w:rsidR="008657B0" w:rsidRPr="008657B0">
        <w:rPr>
          <w:bCs/>
          <w:lang w:val="cy-GB"/>
        </w:rPr>
        <w:t xml:space="preserve"> </w:t>
      </w:r>
    </w:p>
    <w:p w14:paraId="2FC44719" w14:textId="77777777" w:rsidR="00FD5351" w:rsidRPr="008657B0" w:rsidRDefault="001B72EE" w:rsidP="008657B0">
      <w:pPr>
        <w:spacing w:before="360" w:after="360"/>
        <w:rPr>
          <w:bCs/>
          <w:lang w:val="cy-GB"/>
        </w:rPr>
      </w:pPr>
      <w:r w:rsidRPr="008657B0">
        <w:rPr>
          <w:bCs/>
          <w:lang w:val="cy-GB"/>
        </w:rPr>
        <w:t xml:space="preserve">Cafodd yr adroddiad hwn ei gymeradwyo gan Fwrdd Llywodraethwyr y Brifysgol ar 30 Tachwedd </w:t>
      </w:r>
      <w:r w:rsidR="009D44B8" w:rsidRPr="008657B0">
        <w:rPr>
          <w:bCs/>
          <w:lang w:val="cy-GB"/>
        </w:rPr>
        <w:t>2018</w:t>
      </w:r>
      <w:r w:rsidR="00FD5351" w:rsidRPr="008657B0">
        <w:rPr>
          <w:bCs/>
          <w:lang w:val="cy-GB"/>
        </w:rPr>
        <w:t>.</w:t>
      </w:r>
    </w:p>
    <w:p w14:paraId="2FC4471A" w14:textId="77777777" w:rsidR="00610FC8" w:rsidRPr="008657B0" w:rsidRDefault="00610FC8" w:rsidP="00FD5351">
      <w:pPr>
        <w:rPr>
          <w:bCs/>
          <w:lang w:val="cy-GB"/>
        </w:rPr>
      </w:pPr>
    </w:p>
    <w:sectPr w:rsidR="00610FC8" w:rsidRPr="008657B0" w:rsidSect="00A7151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83"/>
    <w:multiLevelType w:val="hybridMultilevel"/>
    <w:tmpl w:val="DF3A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3525"/>
    <w:multiLevelType w:val="hybridMultilevel"/>
    <w:tmpl w:val="F1E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9F6"/>
    <w:multiLevelType w:val="hybridMultilevel"/>
    <w:tmpl w:val="6EA8B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0D34"/>
    <w:multiLevelType w:val="hybridMultilevel"/>
    <w:tmpl w:val="1866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A45"/>
    <w:multiLevelType w:val="hybridMultilevel"/>
    <w:tmpl w:val="EA72C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364D"/>
    <w:multiLevelType w:val="hybridMultilevel"/>
    <w:tmpl w:val="D7B8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53D"/>
    <w:multiLevelType w:val="hybridMultilevel"/>
    <w:tmpl w:val="8266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AF6"/>
    <w:multiLevelType w:val="hybridMultilevel"/>
    <w:tmpl w:val="FBA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757"/>
    <w:multiLevelType w:val="hybridMultilevel"/>
    <w:tmpl w:val="DD9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27019"/>
    <w:multiLevelType w:val="hybridMultilevel"/>
    <w:tmpl w:val="9B54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749F"/>
    <w:multiLevelType w:val="hybridMultilevel"/>
    <w:tmpl w:val="8E80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4546D"/>
    <w:multiLevelType w:val="hybridMultilevel"/>
    <w:tmpl w:val="2C58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125E"/>
    <w:multiLevelType w:val="hybridMultilevel"/>
    <w:tmpl w:val="B0E0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D254A"/>
    <w:multiLevelType w:val="hybridMultilevel"/>
    <w:tmpl w:val="112C3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E5293"/>
    <w:multiLevelType w:val="hybridMultilevel"/>
    <w:tmpl w:val="210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0BF"/>
    <w:multiLevelType w:val="hybridMultilevel"/>
    <w:tmpl w:val="5C84C256"/>
    <w:lvl w:ilvl="0" w:tplc="6D2CD0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9F82EAE"/>
    <w:multiLevelType w:val="hybridMultilevel"/>
    <w:tmpl w:val="1A2A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7B99"/>
    <w:multiLevelType w:val="hybridMultilevel"/>
    <w:tmpl w:val="81AA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7039D"/>
    <w:multiLevelType w:val="hybridMultilevel"/>
    <w:tmpl w:val="9BD0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7"/>
  </w:num>
  <w:num w:numId="5">
    <w:abstractNumId w:val="4"/>
  </w:num>
  <w:num w:numId="6">
    <w:abstractNumId w:val="11"/>
  </w:num>
  <w:num w:numId="7">
    <w:abstractNumId w:val="6"/>
  </w:num>
  <w:num w:numId="8">
    <w:abstractNumId w:val="18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8"/>
    <w:rsid w:val="0000155F"/>
    <w:rsid w:val="00002B06"/>
    <w:rsid w:val="00003434"/>
    <w:rsid w:val="000038E1"/>
    <w:rsid w:val="00023CEF"/>
    <w:rsid w:val="00037B46"/>
    <w:rsid w:val="00045933"/>
    <w:rsid w:val="00051B62"/>
    <w:rsid w:val="00072BA2"/>
    <w:rsid w:val="00086F4E"/>
    <w:rsid w:val="00095677"/>
    <w:rsid w:val="000B21B1"/>
    <w:rsid w:val="000B2F16"/>
    <w:rsid w:val="000B3C56"/>
    <w:rsid w:val="000D0ECA"/>
    <w:rsid w:val="000E3589"/>
    <w:rsid w:val="000E66A5"/>
    <w:rsid w:val="000E6B96"/>
    <w:rsid w:val="000E7DF8"/>
    <w:rsid w:val="0013192F"/>
    <w:rsid w:val="00140C20"/>
    <w:rsid w:val="00151DF9"/>
    <w:rsid w:val="0017756E"/>
    <w:rsid w:val="001A660E"/>
    <w:rsid w:val="001B5E72"/>
    <w:rsid w:val="001B72EE"/>
    <w:rsid w:val="001C4567"/>
    <w:rsid w:val="001E7E51"/>
    <w:rsid w:val="00211897"/>
    <w:rsid w:val="0023572A"/>
    <w:rsid w:val="00245945"/>
    <w:rsid w:val="0024645E"/>
    <w:rsid w:val="00272192"/>
    <w:rsid w:val="002729AF"/>
    <w:rsid w:val="00276B08"/>
    <w:rsid w:val="00291032"/>
    <w:rsid w:val="002A0A20"/>
    <w:rsid w:val="002B70D0"/>
    <w:rsid w:val="002C563A"/>
    <w:rsid w:val="002C63F2"/>
    <w:rsid w:val="002E1DC8"/>
    <w:rsid w:val="002E648A"/>
    <w:rsid w:val="00324C8F"/>
    <w:rsid w:val="0033345B"/>
    <w:rsid w:val="0034004B"/>
    <w:rsid w:val="00341C3D"/>
    <w:rsid w:val="00370068"/>
    <w:rsid w:val="00375357"/>
    <w:rsid w:val="00377B25"/>
    <w:rsid w:val="00384325"/>
    <w:rsid w:val="004137B6"/>
    <w:rsid w:val="004143A9"/>
    <w:rsid w:val="00421DC8"/>
    <w:rsid w:val="00423BC7"/>
    <w:rsid w:val="00433453"/>
    <w:rsid w:val="00440A6D"/>
    <w:rsid w:val="00450588"/>
    <w:rsid w:val="004602B0"/>
    <w:rsid w:val="0046202C"/>
    <w:rsid w:val="00480C00"/>
    <w:rsid w:val="00486986"/>
    <w:rsid w:val="004918D1"/>
    <w:rsid w:val="004A6436"/>
    <w:rsid w:val="004B3E17"/>
    <w:rsid w:val="004B7D85"/>
    <w:rsid w:val="004C388B"/>
    <w:rsid w:val="004D487C"/>
    <w:rsid w:val="004E1E35"/>
    <w:rsid w:val="004F3726"/>
    <w:rsid w:val="004F6A50"/>
    <w:rsid w:val="00500CF4"/>
    <w:rsid w:val="00500F51"/>
    <w:rsid w:val="00523A77"/>
    <w:rsid w:val="005305F0"/>
    <w:rsid w:val="00535E8F"/>
    <w:rsid w:val="005477B4"/>
    <w:rsid w:val="0059797C"/>
    <w:rsid w:val="005A0A51"/>
    <w:rsid w:val="005A4FF0"/>
    <w:rsid w:val="005A559C"/>
    <w:rsid w:val="005A5663"/>
    <w:rsid w:val="005A5C2C"/>
    <w:rsid w:val="005B49E5"/>
    <w:rsid w:val="005C0114"/>
    <w:rsid w:val="005C080E"/>
    <w:rsid w:val="005C2DCD"/>
    <w:rsid w:val="005F310E"/>
    <w:rsid w:val="00610FC8"/>
    <w:rsid w:val="00643679"/>
    <w:rsid w:val="00652A95"/>
    <w:rsid w:val="00673299"/>
    <w:rsid w:val="00690AA3"/>
    <w:rsid w:val="006A7BE4"/>
    <w:rsid w:val="006D3251"/>
    <w:rsid w:val="006F1E55"/>
    <w:rsid w:val="006F5ED1"/>
    <w:rsid w:val="007670BA"/>
    <w:rsid w:val="0078099D"/>
    <w:rsid w:val="007870D2"/>
    <w:rsid w:val="007A2E8E"/>
    <w:rsid w:val="007A76F3"/>
    <w:rsid w:val="007B39F1"/>
    <w:rsid w:val="007D5222"/>
    <w:rsid w:val="007F5D9A"/>
    <w:rsid w:val="0082217B"/>
    <w:rsid w:val="00841F2B"/>
    <w:rsid w:val="00851393"/>
    <w:rsid w:val="00854B74"/>
    <w:rsid w:val="008657B0"/>
    <w:rsid w:val="00867DD3"/>
    <w:rsid w:val="00875B53"/>
    <w:rsid w:val="00880748"/>
    <w:rsid w:val="00880B51"/>
    <w:rsid w:val="00890062"/>
    <w:rsid w:val="008A3A4F"/>
    <w:rsid w:val="008C478A"/>
    <w:rsid w:val="00906826"/>
    <w:rsid w:val="00951E15"/>
    <w:rsid w:val="0098180A"/>
    <w:rsid w:val="0099230A"/>
    <w:rsid w:val="009A530C"/>
    <w:rsid w:val="009A6E01"/>
    <w:rsid w:val="009D44B8"/>
    <w:rsid w:val="009F290C"/>
    <w:rsid w:val="00A042CE"/>
    <w:rsid w:val="00A3276C"/>
    <w:rsid w:val="00A33804"/>
    <w:rsid w:val="00A3732B"/>
    <w:rsid w:val="00A46D0D"/>
    <w:rsid w:val="00A71515"/>
    <w:rsid w:val="00A7373A"/>
    <w:rsid w:val="00A84E57"/>
    <w:rsid w:val="00AB10EE"/>
    <w:rsid w:val="00AE0FB3"/>
    <w:rsid w:val="00AE3F15"/>
    <w:rsid w:val="00AF2C54"/>
    <w:rsid w:val="00B05206"/>
    <w:rsid w:val="00B20A3A"/>
    <w:rsid w:val="00B37F28"/>
    <w:rsid w:val="00B52EAA"/>
    <w:rsid w:val="00B73273"/>
    <w:rsid w:val="00B86236"/>
    <w:rsid w:val="00C017D0"/>
    <w:rsid w:val="00C34D07"/>
    <w:rsid w:val="00C41D01"/>
    <w:rsid w:val="00C7121A"/>
    <w:rsid w:val="00C74CFF"/>
    <w:rsid w:val="00C94639"/>
    <w:rsid w:val="00CC6503"/>
    <w:rsid w:val="00D14330"/>
    <w:rsid w:val="00D212DF"/>
    <w:rsid w:val="00D528F3"/>
    <w:rsid w:val="00DA7956"/>
    <w:rsid w:val="00DB6BC1"/>
    <w:rsid w:val="00DC0F11"/>
    <w:rsid w:val="00DD0557"/>
    <w:rsid w:val="00DE64D7"/>
    <w:rsid w:val="00DE760E"/>
    <w:rsid w:val="00E437A5"/>
    <w:rsid w:val="00E44ABC"/>
    <w:rsid w:val="00E61B98"/>
    <w:rsid w:val="00E81E65"/>
    <w:rsid w:val="00EA6283"/>
    <w:rsid w:val="00EC2136"/>
    <w:rsid w:val="00EF28CD"/>
    <w:rsid w:val="00F1326C"/>
    <w:rsid w:val="00F14DBF"/>
    <w:rsid w:val="00F41948"/>
    <w:rsid w:val="00F442B0"/>
    <w:rsid w:val="00F94658"/>
    <w:rsid w:val="00FB53EB"/>
    <w:rsid w:val="00FC7F86"/>
    <w:rsid w:val="00FD5351"/>
    <w:rsid w:val="00FD6261"/>
    <w:rsid w:val="00FE17C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6F6"/>
  <w15:docId w15:val="{3F66DCDC-2AA2-40F6-B2E3-37C7D218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58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6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143A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5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7B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5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57A4F-62DB-41C0-813C-9D36D70B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50560-7971-469E-A21D-67A79B9F3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001A-7E79-4ABC-A50B-B930F616CA12}">
  <ds:schemaRefs>
    <ds:schemaRef ds:uri="http://purl.org/dc/terms/"/>
    <ds:schemaRef ds:uri="0844c96c-4d36-4d9d-8fa6-d30524a9f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1617fd-9507-48eb-8ab9-aa8900c34b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Butterworth</dc:creator>
  <cp:lastModifiedBy>Emma Harrison</cp:lastModifiedBy>
  <cp:revision>3</cp:revision>
  <cp:lastPrinted>2018-09-27T09:20:00Z</cp:lastPrinted>
  <dcterms:created xsi:type="dcterms:W3CDTF">2021-06-08T07:47:00Z</dcterms:created>
  <dcterms:modified xsi:type="dcterms:W3CDTF">2021-06-08T07:49:00Z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